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2E" w:rsidRDefault="007C552E">
      <w:pPr>
        <w:rPr>
          <w:rFonts w:ascii="Arial" w:hAnsi="Arial" w:cs="Arial"/>
          <w:b/>
          <w:sz w:val="28"/>
          <w:u w:val="single"/>
        </w:rPr>
      </w:pPr>
    </w:p>
    <w:p w:rsidR="00CF5B0C" w:rsidRPr="0084358A" w:rsidRDefault="0084358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5543550</wp:posOffset>
            </wp:positionH>
            <wp:positionV relativeFrom="page">
              <wp:posOffset>114300</wp:posOffset>
            </wp:positionV>
            <wp:extent cx="2105025" cy="876300"/>
            <wp:effectExtent l="19050" t="0" r="9525" b="0"/>
            <wp:wrapNone/>
            <wp:docPr id="2" name="Picture 2" descr="\\vm-documents\Documents$\cmcclurg\My Documents\My Pictures\DRC Logos - New\DRC Logo -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documents\Documents$\cmcclurg\My Documents\My Pictures\DRC Logos - New\DRC Logo -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B0C" w:rsidRPr="0084358A">
        <w:rPr>
          <w:rFonts w:ascii="Arial" w:hAnsi="Arial" w:cs="Arial"/>
          <w:b/>
          <w:sz w:val="28"/>
          <w:u w:val="single"/>
        </w:rPr>
        <w:t>Ground Glass Nodules</w:t>
      </w:r>
    </w:p>
    <w:p w:rsidR="0084358A" w:rsidRDefault="0084358A" w:rsidP="0084358A">
      <w:pPr>
        <w:pStyle w:val="NoSpacing"/>
      </w:pPr>
    </w:p>
    <w:p w:rsidR="00CF5B0C" w:rsidRPr="0084358A" w:rsidRDefault="00CF5B0C">
      <w:pPr>
        <w:rPr>
          <w:rFonts w:ascii="Arial" w:hAnsi="Arial" w:cs="Arial"/>
        </w:rPr>
      </w:pPr>
      <w:r w:rsidRPr="0084358A">
        <w:rPr>
          <w:rFonts w:ascii="Arial" w:hAnsi="Arial" w:cs="Arial"/>
        </w:rPr>
        <w:t>In distinction to solid nodules, no distinction is made between patients with risk factors for lung cancer and those without.</w:t>
      </w:r>
      <w:r w:rsidR="00287049" w:rsidRPr="0084358A">
        <w:rPr>
          <w:rFonts w:ascii="Arial" w:hAnsi="Arial" w:cs="Arial"/>
        </w:rPr>
        <w:t xml:space="preserve"> </w:t>
      </w:r>
      <w:r w:rsidR="006B3A66" w:rsidRPr="0084358A">
        <w:rPr>
          <w:rFonts w:ascii="Arial" w:hAnsi="Arial" w:cs="Arial"/>
        </w:rPr>
        <w:t xml:space="preserve"> Many of these nodules that turn out to be </w:t>
      </w:r>
      <w:r w:rsidR="00287049" w:rsidRPr="0084358A">
        <w:rPr>
          <w:rFonts w:ascii="Arial" w:hAnsi="Arial" w:cs="Arial"/>
        </w:rPr>
        <w:t>can</w:t>
      </w:r>
      <w:r w:rsidR="006B3A66" w:rsidRPr="0084358A">
        <w:rPr>
          <w:rFonts w:ascii="Arial" w:hAnsi="Arial" w:cs="Arial"/>
        </w:rPr>
        <w:t>c</w:t>
      </w:r>
      <w:r w:rsidR="00287049" w:rsidRPr="0084358A">
        <w:rPr>
          <w:rFonts w:ascii="Arial" w:hAnsi="Arial" w:cs="Arial"/>
        </w:rPr>
        <w:t xml:space="preserve">er </w:t>
      </w:r>
      <w:r w:rsidR="006B3A66" w:rsidRPr="0084358A">
        <w:rPr>
          <w:rFonts w:ascii="Arial" w:hAnsi="Arial" w:cs="Arial"/>
        </w:rPr>
        <w:t>are</w:t>
      </w:r>
      <w:r w:rsidR="00287049" w:rsidRPr="0084358A">
        <w:rPr>
          <w:rFonts w:ascii="Arial" w:hAnsi="Arial" w:cs="Arial"/>
        </w:rPr>
        <w:t xml:space="preserve"> </w:t>
      </w:r>
      <w:proofErr w:type="spellStart"/>
      <w:r w:rsidR="00287049" w:rsidRPr="0084358A">
        <w:rPr>
          <w:rFonts w:ascii="Arial" w:hAnsi="Arial" w:cs="Arial"/>
        </w:rPr>
        <w:t>adenocarcinoma</w:t>
      </w:r>
      <w:r w:rsidR="006B3A66" w:rsidRPr="0084358A">
        <w:rPr>
          <w:rFonts w:ascii="Arial" w:hAnsi="Arial" w:cs="Arial"/>
        </w:rPr>
        <w:t>s</w:t>
      </w:r>
      <w:proofErr w:type="spellEnd"/>
      <w:r w:rsidR="00287049" w:rsidRPr="0084358A">
        <w:rPr>
          <w:rFonts w:ascii="Arial" w:hAnsi="Arial" w:cs="Arial"/>
        </w:rPr>
        <w:t>, which has a high incidence in non-smokers.</w:t>
      </w:r>
    </w:p>
    <w:p w:rsidR="00287049" w:rsidRPr="0084358A" w:rsidRDefault="00287049">
      <w:p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Follow up CTs should be use </w:t>
      </w:r>
      <w:r w:rsidRPr="0084358A">
        <w:rPr>
          <w:rFonts w:ascii="Arial" w:hAnsi="Arial" w:cs="Arial"/>
          <w:b/>
        </w:rPr>
        <w:t>low dose technique</w:t>
      </w:r>
      <w:r w:rsidRPr="0084358A">
        <w:rPr>
          <w:rFonts w:ascii="Arial" w:hAnsi="Arial" w:cs="Arial"/>
        </w:rPr>
        <w:t xml:space="preserve"> and</w:t>
      </w:r>
      <w:r w:rsidR="006B3A66" w:rsidRPr="0084358A">
        <w:rPr>
          <w:rFonts w:ascii="Arial" w:hAnsi="Arial" w:cs="Arial"/>
        </w:rPr>
        <w:t xml:space="preserve"> images should be reconstructed at </w:t>
      </w:r>
      <w:r w:rsidRPr="0084358A">
        <w:rPr>
          <w:rFonts w:ascii="Arial" w:hAnsi="Arial" w:cs="Arial"/>
          <w:b/>
        </w:rPr>
        <w:t>1 mm slices</w:t>
      </w:r>
      <w:r w:rsidRPr="0084358A">
        <w:rPr>
          <w:rFonts w:ascii="Arial" w:hAnsi="Arial" w:cs="Arial"/>
        </w:rPr>
        <w:t xml:space="preserve">.  Thin slices all better detection of subtle solid components and </w:t>
      </w:r>
      <w:r w:rsidR="006B3A66" w:rsidRPr="0084358A">
        <w:rPr>
          <w:rFonts w:ascii="Arial" w:hAnsi="Arial" w:cs="Arial"/>
        </w:rPr>
        <w:t xml:space="preserve">allow </w:t>
      </w:r>
      <w:r w:rsidRPr="0084358A">
        <w:rPr>
          <w:rFonts w:ascii="Arial" w:hAnsi="Arial" w:cs="Arial"/>
        </w:rPr>
        <w:t>more accurate measurements.</w:t>
      </w:r>
    </w:p>
    <w:p w:rsidR="00E0137E" w:rsidRPr="0084358A" w:rsidRDefault="009C63B7">
      <w:p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Measurement: Measure ground glass on lung windows, measure solid component on </w:t>
      </w:r>
      <w:proofErr w:type="spellStart"/>
      <w:r w:rsidRPr="0084358A">
        <w:rPr>
          <w:rFonts w:ascii="Arial" w:hAnsi="Arial" w:cs="Arial"/>
        </w:rPr>
        <w:t>mediastinal</w:t>
      </w:r>
      <w:proofErr w:type="spellEnd"/>
      <w:r w:rsidRPr="0084358A">
        <w:rPr>
          <w:rFonts w:ascii="Arial" w:hAnsi="Arial" w:cs="Arial"/>
        </w:rPr>
        <w:t xml:space="preserve"> windows.  Reported size is average of long and short dimensions.</w:t>
      </w:r>
    </w:p>
    <w:p w:rsidR="00CF5B0C" w:rsidRPr="0084358A" w:rsidRDefault="00E0137E">
      <w:pPr>
        <w:rPr>
          <w:rFonts w:ascii="Arial" w:hAnsi="Arial" w:cs="Arial"/>
        </w:rPr>
      </w:pPr>
      <w:proofErr w:type="spellStart"/>
      <w:r w:rsidRPr="0084358A">
        <w:rPr>
          <w:rFonts w:ascii="Arial" w:hAnsi="Arial" w:cs="Arial"/>
        </w:rPr>
        <w:t>Percutaneous</w:t>
      </w:r>
      <w:proofErr w:type="spellEnd"/>
      <w:r w:rsidRPr="0084358A">
        <w:rPr>
          <w:rFonts w:ascii="Arial" w:hAnsi="Arial" w:cs="Arial"/>
        </w:rPr>
        <w:t xml:space="preserve"> or </w:t>
      </w:r>
      <w:proofErr w:type="spellStart"/>
      <w:r w:rsidRPr="0084358A">
        <w:rPr>
          <w:rFonts w:ascii="Arial" w:hAnsi="Arial" w:cs="Arial"/>
        </w:rPr>
        <w:t>transbronchial</w:t>
      </w:r>
      <w:proofErr w:type="spellEnd"/>
      <w:r w:rsidRPr="0084358A">
        <w:rPr>
          <w:rFonts w:ascii="Arial" w:hAnsi="Arial" w:cs="Arial"/>
        </w:rPr>
        <w:t xml:space="preserve"> </w:t>
      </w:r>
      <w:proofErr w:type="spellStart"/>
      <w:r w:rsidRPr="0084358A">
        <w:rPr>
          <w:rFonts w:ascii="Arial" w:hAnsi="Arial" w:cs="Arial"/>
        </w:rPr>
        <w:t>biospy</w:t>
      </w:r>
      <w:proofErr w:type="spellEnd"/>
      <w:r w:rsidRPr="0084358A">
        <w:rPr>
          <w:rFonts w:ascii="Arial" w:hAnsi="Arial" w:cs="Arial"/>
        </w:rPr>
        <w:t xml:space="preserve"> is not recommended for ground glass nodules - -poor diagnostic yield and discordant results versus open lung biopsy.</w:t>
      </w:r>
    </w:p>
    <w:p w:rsidR="00CF5B0C" w:rsidRPr="0084358A" w:rsidRDefault="00E0137E">
      <w:pPr>
        <w:rPr>
          <w:rFonts w:ascii="Arial" w:hAnsi="Arial" w:cs="Arial"/>
          <w:b/>
          <w:sz w:val="28"/>
        </w:rPr>
      </w:pPr>
      <w:r w:rsidRPr="0084358A">
        <w:rPr>
          <w:rFonts w:ascii="Arial" w:hAnsi="Arial" w:cs="Arial"/>
          <w:b/>
          <w:sz w:val="28"/>
        </w:rPr>
        <w:t>Solitary p</w:t>
      </w:r>
      <w:r w:rsidR="00CF5B0C" w:rsidRPr="0084358A">
        <w:rPr>
          <w:rFonts w:ascii="Arial" w:hAnsi="Arial" w:cs="Arial"/>
          <w:b/>
          <w:sz w:val="28"/>
        </w:rPr>
        <w:t xml:space="preserve">ure </w:t>
      </w:r>
      <w:r w:rsidR="00F1280B" w:rsidRPr="0084358A">
        <w:rPr>
          <w:rFonts w:ascii="Arial" w:hAnsi="Arial" w:cs="Arial"/>
          <w:b/>
          <w:sz w:val="28"/>
        </w:rPr>
        <w:t>g</w:t>
      </w:r>
      <w:r w:rsidR="00CF5B0C" w:rsidRPr="0084358A">
        <w:rPr>
          <w:rFonts w:ascii="Arial" w:hAnsi="Arial" w:cs="Arial"/>
          <w:b/>
          <w:sz w:val="28"/>
        </w:rPr>
        <w:t xml:space="preserve">round </w:t>
      </w:r>
      <w:r w:rsidR="00F1280B" w:rsidRPr="0084358A">
        <w:rPr>
          <w:rFonts w:ascii="Arial" w:hAnsi="Arial" w:cs="Arial"/>
          <w:b/>
          <w:sz w:val="28"/>
        </w:rPr>
        <w:t>g</w:t>
      </w:r>
      <w:r w:rsidR="00CF5B0C" w:rsidRPr="0084358A">
        <w:rPr>
          <w:rFonts w:ascii="Arial" w:hAnsi="Arial" w:cs="Arial"/>
          <w:b/>
          <w:sz w:val="28"/>
        </w:rPr>
        <w:t>lass nodules 5 mm and less</w:t>
      </w:r>
    </w:p>
    <w:p w:rsidR="00CF5B0C" w:rsidRPr="0084358A" w:rsidRDefault="00CF5B0C" w:rsidP="00CF5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No follow-up needed</w:t>
      </w:r>
    </w:p>
    <w:p w:rsidR="00CF5B0C" w:rsidRPr="0084358A" w:rsidRDefault="00CF5B0C" w:rsidP="00CF5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Many of these probably represent </w:t>
      </w:r>
      <w:proofErr w:type="spellStart"/>
      <w:r w:rsidRPr="0084358A">
        <w:rPr>
          <w:rFonts w:ascii="Arial" w:hAnsi="Arial" w:cs="Arial"/>
        </w:rPr>
        <w:t>adenomatous</w:t>
      </w:r>
      <w:proofErr w:type="spellEnd"/>
      <w:r w:rsidRPr="0084358A">
        <w:rPr>
          <w:rFonts w:ascii="Arial" w:hAnsi="Arial" w:cs="Arial"/>
        </w:rPr>
        <w:t xml:space="preserve"> hyperplasia</w:t>
      </w:r>
    </w:p>
    <w:p w:rsidR="00CF5B0C" w:rsidRPr="0084358A" w:rsidRDefault="00CF5B0C" w:rsidP="00CF5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Typically stable or very indolent over many years</w:t>
      </w:r>
    </w:p>
    <w:p w:rsidR="00CF5B0C" w:rsidRPr="0084358A" w:rsidRDefault="00CF5B0C" w:rsidP="00CF5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Doubling time on the order of 3-5 years, difficult to detect change with limited precision of measurements.</w:t>
      </w:r>
    </w:p>
    <w:p w:rsidR="00CF5B0C" w:rsidRPr="0084358A" w:rsidRDefault="00CF5B0C" w:rsidP="00CF5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Always use thinnest slices available to evaluate (1mm preferred) -- thin solid nodules can look like ground glass on thicker slices</w:t>
      </w:r>
    </w:p>
    <w:p w:rsidR="00CF5B0C" w:rsidRPr="0084358A" w:rsidRDefault="00CF5B0C" w:rsidP="00CF5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Metastatic disease is very unlikely to be pure ground glass</w:t>
      </w:r>
    </w:p>
    <w:p w:rsidR="00CF5B0C" w:rsidRPr="0084358A" w:rsidRDefault="00E0137E" w:rsidP="00CF5B0C">
      <w:pPr>
        <w:rPr>
          <w:rFonts w:ascii="Arial" w:hAnsi="Arial" w:cs="Arial"/>
          <w:b/>
          <w:sz w:val="28"/>
        </w:rPr>
      </w:pPr>
      <w:r w:rsidRPr="0084358A">
        <w:rPr>
          <w:rFonts w:ascii="Arial" w:hAnsi="Arial" w:cs="Arial"/>
          <w:b/>
          <w:sz w:val="28"/>
        </w:rPr>
        <w:t>Solitary p</w:t>
      </w:r>
      <w:r w:rsidR="00CF5B0C" w:rsidRPr="0084358A">
        <w:rPr>
          <w:rFonts w:ascii="Arial" w:hAnsi="Arial" w:cs="Arial"/>
          <w:b/>
          <w:sz w:val="28"/>
        </w:rPr>
        <w:t xml:space="preserve">ure </w:t>
      </w:r>
      <w:r w:rsidR="00F1280B" w:rsidRPr="0084358A">
        <w:rPr>
          <w:rFonts w:ascii="Arial" w:hAnsi="Arial" w:cs="Arial"/>
          <w:b/>
          <w:sz w:val="28"/>
        </w:rPr>
        <w:t>g</w:t>
      </w:r>
      <w:r w:rsidR="00CF5B0C" w:rsidRPr="0084358A">
        <w:rPr>
          <w:rFonts w:ascii="Arial" w:hAnsi="Arial" w:cs="Arial"/>
          <w:b/>
          <w:sz w:val="28"/>
        </w:rPr>
        <w:t xml:space="preserve">round </w:t>
      </w:r>
      <w:r w:rsidR="00F1280B" w:rsidRPr="0084358A">
        <w:rPr>
          <w:rFonts w:ascii="Arial" w:hAnsi="Arial" w:cs="Arial"/>
          <w:b/>
          <w:sz w:val="28"/>
        </w:rPr>
        <w:t>g</w:t>
      </w:r>
      <w:r w:rsidR="00CF5B0C" w:rsidRPr="0084358A">
        <w:rPr>
          <w:rFonts w:ascii="Arial" w:hAnsi="Arial" w:cs="Arial"/>
          <w:b/>
          <w:sz w:val="28"/>
        </w:rPr>
        <w:t>lass nodules larger than 5 mm</w:t>
      </w:r>
    </w:p>
    <w:p w:rsidR="00CF5B0C" w:rsidRPr="0084358A" w:rsidRDefault="00CF5B0C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Follow-up in 3 months to determine </w:t>
      </w:r>
      <w:r w:rsidR="00287049" w:rsidRPr="0084358A">
        <w:rPr>
          <w:rFonts w:ascii="Arial" w:hAnsi="Arial" w:cs="Arial"/>
        </w:rPr>
        <w:t>persistence</w:t>
      </w:r>
    </w:p>
    <w:p w:rsidR="00287049" w:rsidRPr="0084358A" w:rsidRDefault="00287049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If resolves, likely infection or inflammatory in nature</w:t>
      </w:r>
      <w:r w:rsidR="00F1280B" w:rsidRPr="0084358A">
        <w:rPr>
          <w:rFonts w:ascii="Arial" w:hAnsi="Arial" w:cs="Arial"/>
        </w:rPr>
        <w:t>.  No follow-up.</w:t>
      </w:r>
    </w:p>
    <w:p w:rsidR="00287049" w:rsidRPr="0084358A" w:rsidRDefault="00287049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If unchanged at 3 months, yearly follow-up for at least 3 years</w:t>
      </w:r>
    </w:p>
    <w:p w:rsidR="00F1280B" w:rsidRPr="0084358A" w:rsidRDefault="00F1280B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Increase in size, attenuation, or </w:t>
      </w:r>
      <w:proofErr w:type="gramStart"/>
      <w:r w:rsidRPr="0084358A">
        <w:rPr>
          <w:rFonts w:ascii="Arial" w:hAnsi="Arial" w:cs="Arial"/>
        </w:rPr>
        <w:t>a new</w:t>
      </w:r>
      <w:proofErr w:type="gramEnd"/>
      <w:r w:rsidRPr="0084358A">
        <w:rPr>
          <w:rFonts w:ascii="Arial" w:hAnsi="Arial" w:cs="Arial"/>
        </w:rPr>
        <w:t xml:space="preserve"> solid components are indications for surgical resection.</w:t>
      </w:r>
    </w:p>
    <w:p w:rsidR="00287049" w:rsidRPr="0084358A" w:rsidRDefault="00287049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Many of these lesions are benign or dysplastic/low grade lesions</w:t>
      </w:r>
    </w:p>
    <w:p w:rsidR="00F1280B" w:rsidRPr="0084358A" w:rsidRDefault="00F1280B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Malignancy rate ~18%</w:t>
      </w:r>
    </w:p>
    <w:p w:rsidR="00287049" w:rsidRPr="0084358A" w:rsidRDefault="00287049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Delay in treatment does not affect survival</w:t>
      </w:r>
    </w:p>
    <w:p w:rsidR="00287049" w:rsidRPr="0084358A" w:rsidRDefault="00287049" w:rsidP="00CF5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FDG PET </w:t>
      </w:r>
      <w:r w:rsidR="00F1280B" w:rsidRPr="0084358A">
        <w:rPr>
          <w:rFonts w:ascii="Arial" w:hAnsi="Arial" w:cs="Arial"/>
        </w:rPr>
        <w:t xml:space="preserve">is </w:t>
      </w:r>
      <w:r w:rsidRPr="0084358A">
        <w:rPr>
          <w:rFonts w:ascii="Arial" w:hAnsi="Arial" w:cs="Arial"/>
        </w:rPr>
        <w:t>not helpful in characterizing, 67% of malignant lesions are PET negative</w:t>
      </w:r>
    </w:p>
    <w:p w:rsidR="00F1280B" w:rsidRPr="0084358A" w:rsidRDefault="00F1280B" w:rsidP="00F1280B">
      <w:pPr>
        <w:rPr>
          <w:rFonts w:ascii="Arial" w:hAnsi="Arial" w:cs="Arial"/>
          <w:b/>
          <w:sz w:val="28"/>
        </w:rPr>
      </w:pPr>
      <w:r w:rsidRPr="0084358A">
        <w:rPr>
          <w:rFonts w:ascii="Arial" w:hAnsi="Arial" w:cs="Arial"/>
          <w:b/>
          <w:sz w:val="28"/>
        </w:rPr>
        <w:t xml:space="preserve">Solitary </w:t>
      </w:r>
      <w:r w:rsidR="00E0137E" w:rsidRPr="0084358A">
        <w:rPr>
          <w:rFonts w:ascii="Arial" w:hAnsi="Arial" w:cs="Arial"/>
          <w:b/>
          <w:sz w:val="28"/>
        </w:rPr>
        <w:t>p</w:t>
      </w:r>
      <w:r w:rsidRPr="0084358A">
        <w:rPr>
          <w:rFonts w:ascii="Arial" w:hAnsi="Arial" w:cs="Arial"/>
          <w:b/>
          <w:sz w:val="28"/>
        </w:rPr>
        <w:t>art</w:t>
      </w:r>
      <w:r w:rsidR="00E0137E" w:rsidRPr="0084358A">
        <w:rPr>
          <w:rFonts w:ascii="Arial" w:hAnsi="Arial" w:cs="Arial"/>
          <w:b/>
          <w:sz w:val="28"/>
        </w:rPr>
        <w:t>ly</w:t>
      </w:r>
      <w:r w:rsidRPr="0084358A">
        <w:rPr>
          <w:rFonts w:ascii="Arial" w:hAnsi="Arial" w:cs="Arial"/>
          <w:b/>
          <w:sz w:val="28"/>
        </w:rPr>
        <w:t xml:space="preserve"> solid ground glass nodules</w:t>
      </w:r>
    </w:p>
    <w:p w:rsidR="00F1280B" w:rsidRPr="0084358A" w:rsidRDefault="00F1280B" w:rsidP="00F128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Follow-up in 3 months to determine persistence</w:t>
      </w:r>
    </w:p>
    <w:p w:rsidR="009C63B7" w:rsidRPr="0084358A" w:rsidRDefault="009C63B7" w:rsidP="009C63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If resolves, likely infection or inflammatory in nature.  No follow-up.</w:t>
      </w:r>
    </w:p>
    <w:p w:rsidR="006B232F" w:rsidRPr="0084358A" w:rsidRDefault="006B232F" w:rsidP="009C63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lastRenderedPageBreak/>
        <w:t xml:space="preserve">If lesion decreases in size, check density change.  </w:t>
      </w:r>
      <w:proofErr w:type="spellStart"/>
      <w:r w:rsidRPr="0084358A">
        <w:rPr>
          <w:rFonts w:ascii="Arial" w:hAnsi="Arial" w:cs="Arial"/>
        </w:rPr>
        <w:t>Adenocarcinomas</w:t>
      </w:r>
      <w:proofErr w:type="spellEnd"/>
      <w:r w:rsidRPr="0084358A">
        <w:rPr>
          <w:rFonts w:ascii="Arial" w:hAnsi="Arial" w:cs="Arial"/>
        </w:rPr>
        <w:t xml:space="preserve"> can decrease in size secondary to fibrosis or </w:t>
      </w:r>
      <w:proofErr w:type="spellStart"/>
      <w:r w:rsidRPr="0084358A">
        <w:rPr>
          <w:rFonts w:ascii="Arial" w:hAnsi="Arial" w:cs="Arial"/>
        </w:rPr>
        <w:t>atelectasis</w:t>
      </w:r>
      <w:proofErr w:type="spellEnd"/>
      <w:r w:rsidRPr="0084358A">
        <w:rPr>
          <w:rFonts w:ascii="Arial" w:hAnsi="Arial" w:cs="Arial"/>
        </w:rPr>
        <w:t>.  Can show decrease in size and increase in attenuation.</w:t>
      </w:r>
    </w:p>
    <w:p w:rsidR="00F1280B" w:rsidRPr="0084358A" w:rsidRDefault="009C63B7" w:rsidP="00F128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Malignancy rate: ~</w:t>
      </w:r>
      <w:r w:rsidRPr="0084358A">
        <w:rPr>
          <w:rFonts w:ascii="Arial" w:hAnsi="Arial" w:cs="Arial"/>
          <w:b/>
        </w:rPr>
        <w:t>63%</w:t>
      </w:r>
    </w:p>
    <w:p w:rsidR="009C63B7" w:rsidRPr="0084358A" w:rsidRDefault="009C63B7" w:rsidP="00F128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Size of solid component based on average of long and short dimension</w:t>
      </w:r>
      <w:r w:rsidR="006B232F" w:rsidRPr="0084358A">
        <w:rPr>
          <w:rFonts w:ascii="Arial" w:hAnsi="Arial" w:cs="Arial"/>
        </w:rPr>
        <w:t xml:space="preserve">, in </w:t>
      </w:r>
      <w:proofErr w:type="spellStart"/>
      <w:r w:rsidR="006B232F" w:rsidRPr="0084358A">
        <w:rPr>
          <w:rFonts w:ascii="Arial" w:hAnsi="Arial" w:cs="Arial"/>
        </w:rPr>
        <w:t>mediastinal</w:t>
      </w:r>
      <w:proofErr w:type="spellEnd"/>
      <w:r w:rsidR="006B232F" w:rsidRPr="0084358A">
        <w:rPr>
          <w:rFonts w:ascii="Arial" w:hAnsi="Arial" w:cs="Arial"/>
        </w:rPr>
        <w:t xml:space="preserve"> windows</w:t>
      </w:r>
    </w:p>
    <w:p w:rsidR="006B232F" w:rsidRPr="0084358A" w:rsidRDefault="006B232F" w:rsidP="00F128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Increasing solid component worrisome of developing invasive component</w:t>
      </w:r>
    </w:p>
    <w:p w:rsidR="006B232F" w:rsidRPr="0084358A" w:rsidRDefault="006B232F" w:rsidP="00F128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Larger the solid component, more likely invasive carcinoma</w:t>
      </w:r>
    </w:p>
    <w:p w:rsidR="00E0137E" w:rsidRPr="0084358A" w:rsidRDefault="00165C54" w:rsidP="00E013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When solid component is less than 5 mm, </w:t>
      </w:r>
      <w:r w:rsidR="00E0137E" w:rsidRPr="0084358A">
        <w:rPr>
          <w:rFonts w:ascii="Arial" w:hAnsi="Arial" w:cs="Arial"/>
        </w:rPr>
        <w:t>a conservative approach of yearly follow-up for at least 3 years is recommended</w:t>
      </w:r>
    </w:p>
    <w:p w:rsidR="00E0137E" w:rsidRPr="0084358A" w:rsidRDefault="00E0137E" w:rsidP="00E0137E">
      <w:pPr>
        <w:rPr>
          <w:rFonts w:ascii="Arial" w:hAnsi="Arial" w:cs="Arial"/>
          <w:b/>
          <w:sz w:val="28"/>
        </w:rPr>
      </w:pPr>
      <w:r w:rsidRPr="0084358A">
        <w:rPr>
          <w:rFonts w:ascii="Arial" w:hAnsi="Arial" w:cs="Arial"/>
          <w:b/>
          <w:sz w:val="28"/>
        </w:rPr>
        <w:t>Multiple well defined pure ground glass nodules 5 mm or less</w:t>
      </w:r>
    </w:p>
    <w:p w:rsidR="00E0137E" w:rsidRPr="0084358A" w:rsidRDefault="00E0137E" w:rsidP="00E013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Follow up CTs at 2 and 4 years</w:t>
      </w:r>
    </w:p>
    <w:p w:rsidR="00E0137E" w:rsidRPr="0084358A" w:rsidRDefault="00E0137E" w:rsidP="00E0137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Consider other diagnoses, e.g. respiratory </w:t>
      </w:r>
      <w:proofErr w:type="spellStart"/>
      <w:r w:rsidRPr="0084358A">
        <w:rPr>
          <w:rFonts w:ascii="Arial" w:hAnsi="Arial" w:cs="Arial"/>
        </w:rPr>
        <w:t>bronchiolitis</w:t>
      </w:r>
      <w:proofErr w:type="spellEnd"/>
      <w:r w:rsidRPr="0084358A">
        <w:rPr>
          <w:rFonts w:ascii="Arial" w:hAnsi="Arial" w:cs="Arial"/>
        </w:rPr>
        <w:t xml:space="preserve"> in smokers</w:t>
      </w:r>
    </w:p>
    <w:p w:rsidR="00E0137E" w:rsidRPr="0084358A" w:rsidRDefault="00E0137E" w:rsidP="00E0137E">
      <w:pPr>
        <w:rPr>
          <w:rFonts w:ascii="Arial" w:hAnsi="Arial" w:cs="Arial"/>
          <w:b/>
          <w:sz w:val="28"/>
        </w:rPr>
      </w:pPr>
      <w:r w:rsidRPr="0084358A">
        <w:rPr>
          <w:rFonts w:ascii="Arial" w:hAnsi="Arial" w:cs="Arial"/>
          <w:b/>
          <w:sz w:val="28"/>
        </w:rPr>
        <w:t>Multiple well defined pure ground glass nodules at least one larger than 5 mm, no dominant lesion</w:t>
      </w:r>
    </w:p>
    <w:p w:rsidR="00E0137E" w:rsidRPr="0084358A" w:rsidRDefault="00AA16FA" w:rsidP="00E013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Follow up CT at 3 months</w:t>
      </w:r>
    </w:p>
    <w:p w:rsidR="00AA16FA" w:rsidRPr="0084358A" w:rsidRDefault="00AA16FA" w:rsidP="00E0137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If GGNs persist, then yearly follow-up for at least 3 years</w:t>
      </w:r>
    </w:p>
    <w:p w:rsidR="00AA16FA" w:rsidRPr="0084358A" w:rsidRDefault="00AA16FA" w:rsidP="00AA16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 xml:space="preserve">Increase in size, attenuation, or </w:t>
      </w:r>
      <w:proofErr w:type="gramStart"/>
      <w:r w:rsidRPr="0084358A">
        <w:rPr>
          <w:rFonts w:ascii="Arial" w:hAnsi="Arial" w:cs="Arial"/>
        </w:rPr>
        <w:t>a new</w:t>
      </w:r>
      <w:proofErr w:type="gramEnd"/>
      <w:r w:rsidRPr="0084358A">
        <w:rPr>
          <w:rFonts w:ascii="Arial" w:hAnsi="Arial" w:cs="Arial"/>
        </w:rPr>
        <w:t xml:space="preserve"> solid components are indications for surgical resection.</w:t>
      </w:r>
    </w:p>
    <w:p w:rsidR="004C775C" w:rsidRPr="0084358A" w:rsidRDefault="004C775C" w:rsidP="004C775C">
      <w:pPr>
        <w:rPr>
          <w:rFonts w:ascii="Arial" w:hAnsi="Arial" w:cs="Arial"/>
          <w:b/>
          <w:sz w:val="28"/>
        </w:rPr>
      </w:pPr>
      <w:r w:rsidRPr="0084358A">
        <w:rPr>
          <w:rFonts w:ascii="Arial" w:hAnsi="Arial" w:cs="Arial"/>
          <w:b/>
          <w:sz w:val="28"/>
        </w:rPr>
        <w:t>Multiple well defined pure ground glass nodules at least one larger than 5 mm, dominant lesion</w:t>
      </w:r>
    </w:p>
    <w:p w:rsidR="004C775C" w:rsidRPr="0084358A" w:rsidRDefault="004C775C" w:rsidP="004C7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Dominant lesion determines further management.</w:t>
      </w:r>
    </w:p>
    <w:p w:rsidR="006B3A66" w:rsidRPr="0084358A" w:rsidRDefault="006B3A66" w:rsidP="006B3A6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Follow up CT at 3 months</w:t>
      </w:r>
    </w:p>
    <w:p w:rsidR="004C775C" w:rsidRPr="0084358A" w:rsidRDefault="006B3A66" w:rsidP="004C7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If dominant lesion has a solid component larger than 5 mm, consider resection</w:t>
      </w:r>
    </w:p>
    <w:p w:rsidR="006B3A66" w:rsidRPr="0084358A" w:rsidRDefault="006B3A66" w:rsidP="004C77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358A">
        <w:rPr>
          <w:rFonts w:ascii="Arial" w:hAnsi="Arial" w:cs="Arial"/>
        </w:rPr>
        <w:t>For part solid lesions larger than 10 mm, consider PET/CT.</w:t>
      </w:r>
    </w:p>
    <w:p w:rsidR="006B3A66" w:rsidRPr="0084358A" w:rsidRDefault="006B3A66" w:rsidP="006B3A66">
      <w:pPr>
        <w:rPr>
          <w:rFonts w:ascii="Arial" w:hAnsi="Arial" w:cs="Arial"/>
        </w:rPr>
      </w:pPr>
    </w:p>
    <w:p w:rsidR="006B3A66" w:rsidRPr="00D5729E" w:rsidRDefault="006B3A66" w:rsidP="006B3A66">
      <w:pPr>
        <w:rPr>
          <w:rFonts w:ascii="Arial" w:hAnsi="Arial" w:cs="Arial"/>
          <w:i/>
        </w:rPr>
      </w:pPr>
      <w:proofErr w:type="spellStart"/>
      <w:r w:rsidRPr="0084358A">
        <w:rPr>
          <w:rFonts w:ascii="Arial" w:hAnsi="Arial" w:cs="Arial"/>
          <w:b/>
        </w:rPr>
        <w:t>Naidich</w:t>
      </w:r>
      <w:proofErr w:type="spellEnd"/>
      <w:r w:rsidRPr="0084358A">
        <w:rPr>
          <w:rFonts w:ascii="Arial" w:hAnsi="Arial" w:cs="Arial"/>
          <w:b/>
        </w:rPr>
        <w:t>, D et al.</w:t>
      </w:r>
      <w:r w:rsidR="0084358A">
        <w:rPr>
          <w:rFonts w:ascii="Arial" w:hAnsi="Arial" w:cs="Arial"/>
          <w:b/>
        </w:rPr>
        <w:t>,</w:t>
      </w:r>
      <w:r w:rsidRPr="0084358A">
        <w:rPr>
          <w:rFonts w:ascii="Arial" w:hAnsi="Arial" w:cs="Arial"/>
        </w:rPr>
        <w:t xml:space="preserve"> </w:t>
      </w:r>
      <w:r w:rsidRPr="0084358A">
        <w:rPr>
          <w:rFonts w:ascii="Arial" w:hAnsi="Arial" w:cs="Arial"/>
          <w:b/>
        </w:rPr>
        <w:t xml:space="preserve">Recommendations for the management of </w:t>
      </w:r>
      <w:proofErr w:type="spellStart"/>
      <w:r w:rsidRPr="0084358A">
        <w:rPr>
          <w:rFonts w:ascii="Arial" w:hAnsi="Arial" w:cs="Arial"/>
          <w:b/>
        </w:rPr>
        <w:t>subsolid</w:t>
      </w:r>
      <w:proofErr w:type="spellEnd"/>
      <w:r w:rsidRPr="0084358A">
        <w:rPr>
          <w:rFonts w:ascii="Arial" w:hAnsi="Arial" w:cs="Arial"/>
          <w:b/>
        </w:rPr>
        <w:t xml:space="preserve"> pulmonary nodules detected at CT: a statement from the </w:t>
      </w:r>
      <w:proofErr w:type="spellStart"/>
      <w:r w:rsidRPr="0084358A">
        <w:rPr>
          <w:rFonts w:ascii="Arial" w:hAnsi="Arial" w:cs="Arial"/>
          <w:b/>
        </w:rPr>
        <w:t>Fleischner</w:t>
      </w:r>
      <w:proofErr w:type="spellEnd"/>
      <w:r w:rsidRPr="0084358A">
        <w:rPr>
          <w:rFonts w:ascii="Arial" w:hAnsi="Arial" w:cs="Arial"/>
          <w:b/>
        </w:rPr>
        <w:t xml:space="preserve"> Society.</w:t>
      </w:r>
      <w:r w:rsidRPr="0084358A">
        <w:rPr>
          <w:rFonts w:ascii="Arial" w:hAnsi="Arial" w:cs="Arial"/>
        </w:rPr>
        <w:t xml:space="preserve"> </w:t>
      </w:r>
      <w:proofErr w:type="gramStart"/>
      <w:r w:rsidRPr="00D5729E">
        <w:rPr>
          <w:rFonts w:ascii="Arial" w:hAnsi="Arial" w:cs="Arial"/>
          <w:i/>
        </w:rPr>
        <w:t>Radiology.</w:t>
      </w:r>
      <w:proofErr w:type="gramEnd"/>
      <w:r w:rsidRPr="00D5729E">
        <w:rPr>
          <w:rFonts w:ascii="Arial" w:hAnsi="Arial" w:cs="Arial"/>
          <w:i/>
        </w:rPr>
        <w:t xml:space="preserve"> 2013 Jan;</w:t>
      </w:r>
      <w:r w:rsidR="0084358A" w:rsidRPr="00D5729E">
        <w:rPr>
          <w:rFonts w:ascii="Arial" w:hAnsi="Arial" w:cs="Arial"/>
          <w:i/>
        </w:rPr>
        <w:t xml:space="preserve"> </w:t>
      </w:r>
      <w:r w:rsidRPr="00D5729E">
        <w:rPr>
          <w:rFonts w:ascii="Arial" w:hAnsi="Arial" w:cs="Arial"/>
          <w:i/>
        </w:rPr>
        <w:t>266(1):304-17.</w:t>
      </w:r>
    </w:p>
    <w:p w:rsidR="004C775C" w:rsidRPr="0084358A" w:rsidRDefault="004C775C" w:rsidP="004C775C">
      <w:pPr>
        <w:pStyle w:val="ListParagraph"/>
        <w:rPr>
          <w:rFonts w:ascii="Arial" w:hAnsi="Arial" w:cs="Arial"/>
        </w:rPr>
      </w:pPr>
    </w:p>
    <w:p w:rsidR="00AA16FA" w:rsidRPr="0084358A" w:rsidRDefault="00AA16FA" w:rsidP="00AA16FA">
      <w:pPr>
        <w:pStyle w:val="ListParagraph"/>
        <w:rPr>
          <w:rFonts w:ascii="Arial" w:hAnsi="Arial" w:cs="Arial"/>
        </w:rPr>
      </w:pPr>
    </w:p>
    <w:sectPr w:rsidR="00AA16FA" w:rsidRPr="0084358A" w:rsidSect="00A4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97E"/>
    <w:multiLevelType w:val="hybridMultilevel"/>
    <w:tmpl w:val="1BC8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4370"/>
    <w:multiLevelType w:val="hybridMultilevel"/>
    <w:tmpl w:val="B9B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184B"/>
    <w:multiLevelType w:val="hybridMultilevel"/>
    <w:tmpl w:val="3AD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340D"/>
    <w:multiLevelType w:val="hybridMultilevel"/>
    <w:tmpl w:val="09E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34A1"/>
    <w:multiLevelType w:val="hybridMultilevel"/>
    <w:tmpl w:val="61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30CA5"/>
    <w:multiLevelType w:val="hybridMultilevel"/>
    <w:tmpl w:val="87A6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B0C"/>
    <w:rsid w:val="00165C54"/>
    <w:rsid w:val="00167671"/>
    <w:rsid w:val="00287049"/>
    <w:rsid w:val="004C775C"/>
    <w:rsid w:val="006B232F"/>
    <w:rsid w:val="006B3A66"/>
    <w:rsid w:val="007C552E"/>
    <w:rsid w:val="0084358A"/>
    <w:rsid w:val="00985B20"/>
    <w:rsid w:val="009C63B7"/>
    <w:rsid w:val="00A47F13"/>
    <w:rsid w:val="00AA16FA"/>
    <w:rsid w:val="00CF5B0C"/>
    <w:rsid w:val="00D5729E"/>
    <w:rsid w:val="00E0137E"/>
    <w:rsid w:val="00F1280B"/>
    <w:rsid w:val="00F1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0C"/>
    <w:pPr>
      <w:ind w:left="720"/>
      <w:contextualSpacing/>
    </w:pPr>
  </w:style>
  <w:style w:type="paragraph" w:styleId="NoSpacing">
    <w:name w:val="No Spacing"/>
    <w:uiPriority w:val="1"/>
    <w:qFormat/>
    <w:rsid w:val="00843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jbrandon</dc:creator>
  <cp:lastModifiedBy>cmcclurg</cp:lastModifiedBy>
  <cp:revision>6</cp:revision>
  <dcterms:created xsi:type="dcterms:W3CDTF">2014-05-03T21:48:00Z</dcterms:created>
  <dcterms:modified xsi:type="dcterms:W3CDTF">2014-10-03T13:41:00Z</dcterms:modified>
</cp:coreProperties>
</file>