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1C" w:rsidRDefault="00E6131C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</w:pPr>
    </w:p>
    <w:p w:rsidR="00911BBE" w:rsidRPr="00E4646D" w:rsidRDefault="00AF23B3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5543550</wp:posOffset>
            </wp:positionH>
            <wp:positionV relativeFrom="page">
              <wp:posOffset>114300</wp:posOffset>
            </wp:positionV>
            <wp:extent cx="2105025" cy="876300"/>
            <wp:effectExtent l="19050" t="0" r="9525" b="0"/>
            <wp:wrapNone/>
            <wp:docPr id="2" name="Picture 2" descr="\\vm-documents\Documents$\cmcclurg\My Documents\My Pictures\DRC Logos - New\DRC Logo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-documents\Documents$\cmcclurg\My Documents\My Pictures\DRC Logos - New\DRC Logo -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BBE" w:rsidRPr="00E4646D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Management of Ovarian Cyst:</w:t>
      </w:r>
    </w:p>
    <w:p w:rsidR="00E4646D" w:rsidRPr="00E4646D" w:rsidRDefault="00E4646D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4646D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Simple Cyst </w:t>
      </w:r>
      <w:r w:rsidRPr="00E4646D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(cystic, no solid component, thin walls)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1"/>
          <w:szCs w:val="21"/>
        </w:rPr>
      </w:pPr>
      <w:r w:rsidRPr="00E4646D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Low Risk (Pre-menopausal)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  * &lt; 5 cm – Done, no follow up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    </w:t>
      </w:r>
      <w:proofErr w:type="gram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*  5</w:t>
      </w:r>
      <w:proofErr w:type="gram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-7 cm – Yearly u/s follow up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  *</w:t>
      </w:r>
      <w:proofErr w:type="gram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 &gt;</w:t>
      </w:r>
      <w:proofErr w:type="gram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 7cm –  MRI or surgery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Style w:val="Strong"/>
          <w:rFonts w:ascii="Arial" w:hAnsi="Arial" w:cs="Arial"/>
          <w:sz w:val="22"/>
          <w:szCs w:val="21"/>
          <w:bdr w:val="none" w:sz="0" w:space="0" w:color="auto" w:frame="1"/>
        </w:rPr>
        <w:t xml:space="preserve">High Risk (post-menopausal, personal of family </w:t>
      </w:r>
      <w:proofErr w:type="spellStart"/>
      <w:r w:rsidRPr="00E4646D">
        <w:rPr>
          <w:rStyle w:val="Strong"/>
          <w:rFonts w:ascii="Arial" w:hAnsi="Arial" w:cs="Arial"/>
          <w:sz w:val="22"/>
          <w:szCs w:val="21"/>
          <w:bdr w:val="none" w:sz="0" w:space="0" w:color="auto" w:frame="1"/>
        </w:rPr>
        <w:t>hx</w:t>
      </w:r>
      <w:proofErr w:type="spellEnd"/>
      <w:r w:rsidRPr="00E4646D">
        <w:rPr>
          <w:rStyle w:val="Strong"/>
          <w:rFonts w:ascii="Arial" w:hAnsi="Arial" w:cs="Arial"/>
          <w:sz w:val="22"/>
          <w:szCs w:val="21"/>
          <w:bdr w:val="none" w:sz="0" w:space="0" w:color="auto" w:frame="1"/>
        </w:rPr>
        <w:t>, genetic risk)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  * &lt; 2cm -</w:t>
      </w:r>
      <w:proofErr w:type="gram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 Done</w:t>
      </w:r>
      <w:proofErr w:type="gram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, no follow up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  * 2-7cm – Yearly follow up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Cs w:val="22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    * &gt; 7cm </w:t>
      </w:r>
      <w:proofErr w:type="gram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-  MRI</w:t>
      </w:r>
      <w:proofErr w:type="gram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 or surgery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2"/>
        </w:rPr>
      </w:pPr>
      <w:r w:rsidRPr="00E4646D">
        <w:rPr>
          <w:rFonts w:ascii="Arial" w:hAnsi="Arial" w:cs="Arial"/>
          <w:b/>
          <w:bCs/>
          <w:sz w:val="28"/>
          <w:szCs w:val="29"/>
          <w:bdr w:val="none" w:sz="0" w:space="0" w:color="auto" w:frame="1"/>
        </w:rPr>
        <w:t xml:space="preserve">Hemorrhagic Cyst </w:t>
      </w:r>
      <w:r w:rsidRPr="00E4646D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 xml:space="preserve">(cystic &amp; lace-like </w:t>
      </w:r>
      <w:proofErr w:type="spellStart"/>
      <w:r w:rsidRPr="00E4646D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echos</w:t>
      </w:r>
      <w:proofErr w:type="spellEnd"/>
      <w:r w:rsidRPr="00E4646D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; nodular component w/o flow)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Low Risk (Pre-menopausal)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 xml:space="preserve">    * &lt; 5 cm – </w:t>
      </w:r>
      <w:proofErr w:type="gramStart"/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Done ,</w:t>
      </w:r>
      <w:proofErr w:type="gramEnd"/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 xml:space="preserve"> no f/u needed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  * &gt; 5 cm – 6-12 week u/s follow up: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          - Resolved – done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          - Unchanged - MRI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High Risk (post-menopausal, personal of family </w:t>
      </w:r>
      <w:proofErr w:type="spellStart"/>
      <w:r w:rsidRPr="00E4646D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hx</w:t>
      </w:r>
      <w:proofErr w:type="spellEnd"/>
      <w:r w:rsidRPr="00E4646D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, genetic risk)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 * &lt; 5cm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     *</w:t>
      </w:r>
      <w:proofErr w:type="gramStart"/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 Early</w:t>
      </w:r>
      <w:proofErr w:type="gramEnd"/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 xml:space="preserve"> Menopause-6-12 week f/u u/s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              - Resolved – done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              - Unchanged – MRI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     </w:t>
      </w:r>
      <w:proofErr w:type="gramStart"/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*  Late</w:t>
      </w:r>
      <w:proofErr w:type="gramEnd"/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 xml:space="preserve"> Menopause 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              - MRI or surgery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  *</w:t>
      </w:r>
      <w:proofErr w:type="gramStart"/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>  &gt;</w:t>
      </w:r>
      <w:proofErr w:type="gramEnd"/>
      <w:r w:rsidRPr="00E4646D">
        <w:rPr>
          <w:rFonts w:ascii="Arial" w:hAnsi="Arial" w:cs="Arial"/>
          <w:sz w:val="22"/>
          <w:szCs w:val="22"/>
          <w:bdr w:val="none" w:sz="0" w:space="0" w:color="auto" w:frame="1"/>
        </w:rPr>
        <w:t xml:space="preserve"> 5 cm - MRI or Surgery                      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1"/>
          <w:szCs w:val="21"/>
        </w:rPr>
      </w:pPr>
      <w:r w:rsidRPr="00E4646D">
        <w:rPr>
          <w:rFonts w:ascii="Arial" w:hAnsi="Arial" w:cs="Arial"/>
          <w:b/>
          <w:bCs/>
          <w:sz w:val="29"/>
          <w:szCs w:val="29"/>
          <w:bdr w:val="none" w:sz="0" w:space="0" w:color="auto" w:frame="1"/>
        </w:rPr>
        <w:t>Any Other Cyst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Style w:val="Strong"/>
          <w:rFonts w:ascii="Arial" w:hAnsi="Arial" w:cs="Arial"/>
          <w:sz w:val="22"/>
          <w:szCs w:val="21"/>
          <w:bdr w:val="none" w:sz="0" w:space="0" w:color="auto" w:frame="1"/>
        </w:rPr>
        <w:t>Low Risk (Pre-menopausal)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 *</w:t>
      </w:r>
      <w:r w:rsidRPr="00E4646D">
        <w:rPr>
          <w:rStyle w:val="apple-converted-space"/>
          <w:rFonts w:ascii="Arial" w:hAnsi="Arial" w:cs="Arial"/>
          <w:b/>
          <w:bCs/>
          <w:sz w:val="22"/>
          <w:szCs w:val="21"/>
          <w:bdr w:val="none" w:sz="0" w:space="0" w:color="auto" w:frame="1"/>
        </w:rPr>
        <w:t> </w:t>
      </w: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Thin </w:t>
      </w:r>
      <w:proofErr w:type="spell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septation</w:t>
      </w:r>
      <w:proofErr w:type="spell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/small calcification – 6-12 f/u ultrasound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        - Resolved – done 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        - Unchanged – MRI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 *</w:t>
      </w:r>
      <w:r w:rsidRPr="00E4646D">
        <w:rPr>
          <w:rStyle w:val="apple-converted-space"/>
          <w:rFonts w:ascii="Arial" w:hAnsi="Arial" w:cs="Arial"/>
          <w:sz w:val="22"/>
          <w:szCs w:val="21"/>
          <w:bdr w:val="none" w:sz="0" w:space="0" w:color="auto" w:frame="1"/>
        </w:rPr>
        <w:t> </w:t>
      </w: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Multiple thin/thick </w:t>
      </w:r>
      <w:proofErr w:type="spell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septations</w:t>
      </w:r>
      <w:proofErr w:type="spell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, solid component, </w:t>
      </w:r>
      <w:proofErr w:type="spell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ascites</w:t>
      </w:r>
      <w:proofErr w:type="spell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, LA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        -  Surgery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Style w:val="Strong"/>
          <w:rFonts w:ascii="Arial" w:hAnsi="Arial" w:cs="Arial"/>
          <w:sz w:val="22"/>
          <w:szCs w:val="21"/>
          <w:bdr w:val="none" w:sz="0" w:space="0" w:color="auto" w:frame="1"/>
        </w:rPr>
        <w:t xml:space="preserve">High Risk (post-menopausal, personal of family </w:t>
      </w:r>
      <w:proofErr w:type="spellStart"/>
      <w:r w:rsidRPr="00E4646D">
        <w:rPr>
          <w:rStyle w:val="Strong"/>
          <w:rFonts w:ascii="Arial" w:hAnsi="Arial" w:cs="Arial"/>
          <w:sz w:val="22"/>
          <w:szCs w:val="21"/>
          <w:bdr w:val="none" w:sz="0" w:space="0" w:color="auto" w:frame="1"/>
        </w:rPr>
        <w:t>hx</w:t>
      </w:r>
      <w:proofErr w:type="spellEnd"/>
      <w:r w:rsidRPr="00E4646D">
        <w:rPr>
          <w:rStyle w:val="Strong"/>
          <w:rFonts w:ascii="Arial" w:hAnsi="Arial" w:cs="Arial"/>
          <w:sz w:val="22"/>
          <w:szCs w:val="21"/>
          <w:bdr w:val="none" w:sz="0" w:space="0" w:color="auto" w:frame="1"/>
        </w:rPr>
        <w:t>, genetic risk)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   * Thin </w:t>
      </w:r>
      <w:proofErr w:type="spell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septation</w:t>
      </w:r>
      <w:proofErr w:type="spell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/small calcification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          - MRI </w:t>
      </w:r>
      <w:proofErr w:type="spell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vs</w:t>
      </w:r>
      <w:proofErr w:type="spell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 surgery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   * Multiple/thick </w:t>
      </w:r>
      <w:proofErr w:type="spell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septations</w:t>
      </w:r>
      <w:proofErr w:type="spell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, solid</w:t>
      </w:r>
      <w:proofErr w:type="gramStart"/>
      <w:r w:rsidRPr="00E4646D">
        <w:rPr>
          <w:rStyle w:val="apple-converted-space"/>
          <w:rFonts w:ascii="Arial" w:hAnsi="Arial" w:cs="Arial"/>
          <w:sz w:val="22"/>
          <w:szCs w:val="21"/>
          <w:bdr w:val="none" w:sz="0" w:space="0" w:color="auto" w:frame="1"/>
        </w:rPr>
        <w:t> </w:t>
      </w: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w</w:t>
      </w:r>
      <w:proofErr w:type="gram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/ flow, </w:t>
      </w:r>
      <w:proofErr w:type="spellStart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ascites</w:t>
      </w:r>
      <w:proofErr w:type="spellEnd"/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, LA</w:t>
      </w:r>
    </w:p>
    <w:p w:rsidR="00911BBE" w:rsidRPr="00E4646D" w:rsidRDefault="00911BBE" w:rsidP="00911B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1"/>
          <w:bdr w:val="none" w:sz="0" w:space="0" w:color="auto" w:frame="1"/>
        </w:rPr>
      </w:pP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>          - Surgery</w:t>
      </w:r>
    </w:p>
    <w:p w:rsidR="00E4646D" w:rsidRDefault="00E4646D" w:rsidP="00E4646D">
      <w:pPr>
        <w:rPr>
          <w:bdr w:val="none" w:sz="0" w:space="0" w:color="auto" w:frame="1"/>
        </w:rPr>
      </w:pPr>
    </w:p>
    <w:p w:rsidR="005F4A62" w:rsidRPr="00E4646D" w:rsidRDefault="00911BBE" w:rsidP="00911BBE">
      <w:pPr>
        <w:pStyle w:val="NormalWeb"/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2"/>
          <w:szCs w:val="21"/>
          <w:bdr w:val="none" w:sz="0" w:space="0" w:color="auto" w:frame="1"/>
        </w:rPr>
      </w:pPr>
      <w:r w:rsidRPr="00E4646D">
        <w:rPr>
          <w:rFonts w:ascii="Arial" w:hAnsi="Arial" w:cs="Arial"/>
          <w:b/>
          <w:sz w:val="22"/>
          <w:szCs w:val="21"/>
          <w:bdr w:val="none" w:sz="0" w:space="0" w:color="auto" w:frame="1"/>
        </w:rPr>
        <w:t xml:space="preserve">Management of Asymptomatic Ovarian and Other </w:t>
      </w:r>
      <w:proofErr w:type="spellStart"/>
      <w:r w:rsidRPr="00E4646D">
        <w:rPr>
          <w:rFonts w:ascii="Arial" w:hAnsi="Arial" w:cs="Arial"/>
          <w:b/>
          <w:sz w:val="22"/>
          <w:szCs w:val="21"/>
          <w:bdr w:val="none" w:sz="0" w:space="0" w:color="auto" w:frame="1"/>
        </w:rPr>
        <w:t>Adnexal</w:t>
      </w:r>
      <w:proofErr w:type="spellEnd"/>
      <w:r w:rsidRPr="00E4646D">
        <w:rPr>
          <w:rFonts w:ascii="Arial" w:hAnsi="Arial" w:cs="Arial"/>
          <w:b/>
          <w:sz w:val="22"/>
          <w:szCs w:val="21"/>
          <w:bdr w:val="none" w:sz="0" w:space="0" w:color="auto" w:frame="1"/>
        </w:rPr>
        <w:t xml:space="preserve"> Cysts Imaged at US</w:t>
      </w:r>
      <w:r w:rsidRPr="00E4646D">
        <w:rPr>
          <w:rFonts w:ascii="Arial" w:hAnsi="Arial" w:cs="Arial"/>
          <w:sz w:val="22"/>
          <w:szCs w:val="21"/>
          <w:bdr w:val="none" w:sz="0" w:space="0" w:color="auto" w:frame="1"/>
        </w:rPr>
        <w:t xml:space="preserve">; Society of Radiologists in Ultrasound Consensus Conference Statement; </w:t>
      </w:r>
      <w:r w:rsidRPr="00E4646D">
        <w:rPr>
          <w:rFonts w:ascii="Arial" w:hAnsi="Arial" w:cs="Arial"/>
          <w:i/>
          <w:sz w:val="22"/>
          <w:szCs w:val="21"/>
          <w:bdr w:val="none" w:sz="0" w:space="0" w:color="auto" w:frame="1"/>
        </w:rPr>
        <w:t>Ultrasound Quarterly &amp; Volume 26, Number 3, September 2010</w:t>
      </w:r>
      <w:r w:rsidR="003564EB">
        <w:rPr>
          <w:rFonts w:ascii="Arial" w:hAnsi="Arial" w:cs="Arial"/>
          <w:i/>
          <w:sz w:val="22"/>
          <w:szCs w:val="21"/>
          <w:bdr w:val="none" w:sz="0" w:space="0" w:color="auto" w:frame="1"/>
        </w:rPr>
        <w:t>, PP 121-131</w:t>
      </w:r>
      <w:r w:rsidR="00E4646D" w:rsidRPr="00E4646D">
        <w:rPr>
          <w:rFonts w:ascii="Arial" w:hAnsi="Arial" w:cs="Arial"/>
          <w:i/>
          <w:sz w:val="22"/>
          <w:szCs w:val="21"/>
          <w:bdr w:val="none" w:sz="0" w:space="0" w:color="auto" w:frame="1"/>
        </w:rPr>
        <w:t>.</w:t>
      </w:r>
    </w:p>
    <w:sectPr w:rsidR="005F4A62" w:rsidRPr="00E4646D" w:rsidSect="00E4646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BBE"/>
    <w:rsid w:val="003564EB"/>
    <w:rsid w:val="0045612D"/>
    <w:rsid w:val="005F4A62"/>
    <w:rsid w:val="00667ADA"/>
    <w:rsid w:val="00911BBE"/>
    <w:rsid w:val="00AF23B3"/>
    <w:rsid w:val="00E41058"/>
    <w:rsid w:val="00E4646D"/>
    <w:rsid w:val="00E6131C"/>
    <w:rsid w:val="00EB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BBE"/>
    <w:rPr>
      <w:b/>
      <w:bCs/>
    </w:rPr>
  </w:style>
  <w:style w:type="character" w:customStyle="1" w:styleId="apple-converted-space">
    <w:name w:val="apple-converted-space"/>
    <w:basedOn w:val="DefaultParagraphFont"/>
    <w:rsid w:val="0091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cmcclurg</dc:creator>
  <cp:lastModifiedBy>cmcclurg</cp:lastModifiedBy>
  <cp:revision>6</cp:revision>
  <cp:lastPrinted>2014-05-20T20:09:00Z</cp:lastPrinted>
  <dcterms:created xsi:type="dcterms:W3CDTF">2014-05-20T19:49:00Z</dcterms:created>
  <dcterms:modified xsi:type="dcterms:W3CDTF">2014-10-03T13:40:00Z</dcterms:modified>
</cp:coreProperties>
</file>